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5632" w14:textId="77777777" w:rsidR="00BA2032" w:rsidRPr="00B24B1B" w:rsidRDefault="00BD1FA0" w:rsidP="00BA2032">
      <w:pPr>
        <w:pStyle w:val="Normlnweb"/>
        <w:spacing w:before="0" w:beforeAutospacing="0" w:after="0" w:afterAutospacing="0"/>
        <w:outlineLvl w:val="0"/>
        <w:rPr>
          <w:rFonts w:ascii="Arial" w:hAnsi="Arial" w:cs="Arial"/>
          <w:b/>
          <w:color w:val="141760"/>
          <w:sz w:val="22"/>
          <w:szCs w:val="16"/>
        </w:rPr>
      </w:pPr>
      <w:r>
        <w:rPr>
          <w:rFonts w:ascii="Arial" w:eastAsia="Times New Roman" w:hAnsi="Arial" w:cs="Arial"/>
          <w:noProof/>
          <w:color w:val="141760"/>
          <w:sz w:val="18"/>
          <w:szCs w:val="16"/>
          <w:lang w:val="cs-CZ" w:eastAsia="cs-CZ"/>
        </w:rPr>
        <w:drawing>
          <wp:anchor distT="0" distB="0" distL="114300" distR="114300" simplePos="0" relativeHeight="251660288" behindDoc="0" locked="0" layoutInCell="1" allowOverlap="1" wp14:anchorId="3D3482A1" wp14:editId="4C0DC2FF">
            <wp:simplePos x="0" y="0"/>
            <wp:positionH relativeFrom="margin">
              <wp:posOffset>13970</wp:posOffset>
            </wp:positionH>
            <wp:positionV relativeFrom="paragraph">
              <wp:posOffset>0</wp:posOffset>
            </wp:positionV>
            <wp:extent cx="1286510" cy="1799590"/>
            <wp:effectExtent l="0" t="0" r="889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24B1B" w:rsidRPr="00B24B1B">
        <w:rPr>
          <w:rFonts w:ascii="Arial" w:hAnsi="Arial" w:cs="Arial"/>
          <w:b/>
          <w:color w:val="141760"/>
          <w:sz w:val="22"/>
          <w:szCs w:val="16"/>
        </w:rPr>
        <w:t>Kateřina</w:t>
      </w:r>
      <w:proofErr w:type="spellEnd"/>
      <w:r w:rsidR="00B24B1B" w:rsidRPr="00B24B1B">
        <w:rPr>
          <w:rFonts w:ascii="Arial" w:hAnsi="Arial" w:cs="Arial"/>
          <w:b/>
          <w:color w:val="141760"/>
          <w:sz w:val="22"/>
          <w:szCs w:val="16"/>
        </w:rPr>
        <w:t xml:space="preserve"> </w:t>
      </w:r>
      <w:proofErr w:type="spellStart"/>
      <w:r w:rsidR="00B24B1B" w:rsidRPr="00B24B1B">
        <w:rPr>
          <w:rFonts w:ascii="Arial" w:hAnsi="Arial" w:cs="Arial"/>
          <w:b/>
          <w:color w:val="141760"/>
          <w:sz w:val="22"/>
          <w:szCs w:val="16"/>
        </w:rPr>
        <w:t>Surková</w:t>
      </w:r>
      <w:proofErr w:type="spellEnd"/>
    </w:p>
    <w:p w14:paraId="5BD1B04D" w14:textId="6AA36EC1" w:rsidR="002D50A2" w:rsidRPr="00B24B1B" w:rsidRDefault="00426316" w:rsidP="002D50A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41760"/>
          <w:sz w:val="18"/>
          <w:szCs w:val="16"/>
          <w:lang w:val="en-US" w:eastAsia="cs-CZ"/>
        </w:rPr>
      </w:pPr>
      <w:r>
        <w:rPr>
          <w:rFonts w:ascii="Arial" w:eastAsia="Times New Roman" w:hAnsi="Arial" w:cs="Arial"/>
          <w:color w:val="141760"/>
          <w:sz w:val="18"/>
          <w:szCs w:val="16"/>
          <w:lang w:val="en-US" w:eastAsia="cs-CZ"/>
        </w:rPr>
        <w:t>Counsel</w:t>
      </w:r>
    </w:p>
    <w:p w14:paraId="166568A5" w14:textId="04C04079" w:rsidR="00B24B1B" w:rsidRPr="00F10EBD" w:rsidRDefault="00B24B1B" w:rsidP="00F10EBD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6"/>
          <w:lang w:val="en-US" w:eastAsia="cs-CZ"/>
        </w:rPr>
      </w:pPr>
      <w:proofErr w:type="spellStart"/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>Kateřina</w:t>
      </w:r>
      <w:proofErr w:type="spellEnd"/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 xml:space="preserve"> </w:t>
      </w:r>
      <w:proofErr w:type="spellStart"/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>Surková</w:t>
      </w:r>
      <w:proofErr w:type="spellEnd"/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 xml:space="preserve"> </w:t>
      </w:r>
      <w:proofErr w:type="spellStart"/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>specialises</w:t>
      </w:r>
      <w:proofErr w:type="spellEnd"/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 xml:space="preserve"> in corporate law, company restructuring, creation of holding structures, and acquisitions and divestitures of companies.</w:t>
      </w:r>
    </w:p>
    <w:p w14:paraId="5E761B47" w14:textId="77777777" w:rsidR="001528B7" w:rsidRPr="00F10EBD" w:rsidRDefault="001528B7" w:rsidP="00F10EBD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6"/>
          <w:lang w:val="en-US" w:eastAsia="cs-CZ"/>
        </w:rPr>
      </w:pPr>
    </w:p>
    <w:p w14:paraId="4B6C4048" w14:textId="48AC3560" w:rsidR="00B24B1B" w:rsidRPr="00F10EBD" w:rsidRDefault="00B24B1B" w:rsidP="00F10EBD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6"/>
          <w:lang w:val="en-US" w:eastAsia="cs-CZ"/>
        </w:rPr>
      </w:pPr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 xml:space="preserve">In the field of commercial law, </w:t>
      </w:r>
      <w:proofErr w:type="spellStart"/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>Kateřina</w:t>
      </w:r>
      <w:proofErr w:type="spellEnd"/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 xml:space="preserve"> focuses mainly on the law of commercial corporations, all types of company transformations, such as mergers and divisions of companies, both national and those with a foreign element. She also has extensive experience in creating Czech and foreign holding structures or</w:t>
      </w:r>
      <w:r w:rsidR="001528B7" w:rsidRPr="00F10EBD">
        <w:rPr>
          <w:rFonts w:ascii="Arial" w:eastAsia="Times New Roman" w:hAnsi="Arial" w:cs="Arial"/>
          <w:sz w:val="16"/>
          <w:szCs w:val="16"/>
          <w:lang w:val="en-US" w:eastAsia="cs-CZ"/>
        </w:rPr>
        <w:t> </w:t>
      </w:r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>setting up and settling relations between shareholders.</w:t>
      </w:r>
    </w:p>
    <w:p w14:paraId="70A3977F" w14:textId="77777777" w:rsidR="001528B7" w:rsidRPr="00F10EBD" w:rsidRDefault="001528B7" w:rsidP="00F10EBD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6"/>
          <w:lang w:val="en-US" w:eastAsia="cs-CZ"/>
        </w:rPr>
      </w:pPr>
    </w:p>
    <w:p w14:paraId="12EAE8CB" w14:textId="4EF7CEA9" w:rsidR="00B24B1B" w:rsidRPr="00F10EBD" w:rsidRDefault="00B24B1B" w:rsidP="00F10EBD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6"/>
          <w:lang w:val="en-US" w:eastAsia="cs-CZ"/>
        </w:rPr>
      </w:pPr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 xml:space="preserve">In the field of acquisitions and divestitures, </w:t>
      </w:r>
      <w:proofErr w:type="spellStart"/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>Kateřina</w:t>
      </w:r>
      <w:proofErr w:type="spellEnd"/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 xml:space="preserve"> has been involved in several major real estate transactions both on the side of sellers and buyers in recent years.</w:t>
      </w:r>
    </w:p>
    <w:p w14:paraId="13BFF60D" w14:textId="77777777" w:rsidR="001528B7" w:rsidRPr="00F10EBD" w:rsidRDefault="001528B7" w:rsidP="00F10EBD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6"/>
          <w:lang w:val="en-US" w:eastAsia="cs-CZ"/>
        </w:rPr>
      </w:pPr>
    </w:p>
    <w:p w14:paraId="58F17708" w14:textId="341A09CD" w:rsidR="00B24B1B" w:rsidRPr="00F10EBD" w:rsidRDefault="00B24B1B" w:rsidP="00F10EBD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6"/>
          <w:lang w:val="en-US" w:eastAsia="cs-CZ"/>
        </w:rPr>
      </w:pPr>
      <w:proofErr w:type="spellStart"/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>Kateřina</w:t>
      </w:r>
      <w:proofErr w:type="spellEnd"/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 xml:space="preserve"> joined our law firm in 2007 and worked here as a junior associate and then as an associate. She also served as an attorney at</w:t>
      </w:r>
      <w:r w:rsidR="001528B7" w:rsidRPr="00F10EBD">
        <w:rPr>
          <w:rFonts w:ascii="Arial" w:eastAsia="Times New Roman" w:hAnsi="Arial" w:cs="Arial"/>
          <w:sz w:val="16"/>
          <w:szCs w:val="16"/>
          <w:lang w:val="en-US" w:eastAsia="cs-CZ"/>
        </w:rPr>
        <w:t> </w:t>
      </w:r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>PwC Legal, and in 2018 she returned to our law firm as a senior associate.</w:t>
      </w:r>
    </w:p>
    <w:p w14:paraId="5F55963A" w14:textId="77777777" w:rsidR="001528B7" w:rsidRPr="00F10EBD" w:rsidRDefault="001528B7" w:rsidP="00F10EBD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6"/>
          <w:lang w:val="en-US" w:eastAsia="cs-CZ"/>
        </w:rPr>
      </w:pPr>
    </w:p>
    <w:p w14:paraId="42704C17" w14:textId="3A5B730A" w:rsidR="00B24B1B" w:rsidRPr="00F10EBD" w:rsidRDefault="001528B7" w:rsidP="00F10EBD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A70336"/>
          <w:sz w:val="16"/>
          <w:szCs w:val="16"/>
          <w:lang w:val="en-US" w:eastAsia="cs-CZ"/>
        </w:rPr>
      </w:pPr>
      <w:r w:rsidRPr="00F10EBD">
        <w:rPr>
          <w:rFonts w:ascii="Arial" w:eastAsia="Times New Roman" w:hAnsi="Arial" w:cs="Arial"/>
          <w:b/>
          <w:color w:val="A70336"/>
          <w:sz w:val="16"/>
          <w:szCs w:val="16"/>
          <w:lang w:val="en-US" w:eastAsia="cs-CZ"/>
        </w:rPr>
        <w:t>Projects</w:t>
      </w:r>
    </w:p>
    <w:p w14:paraId="185005BE" w14:textId="77777777" w:rsidR="001528B7" w:rsidRPr="00F10EBD" w:rsidRDefault="001528B7" w:rsidP="00F10EBD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A70336"/>
          <w:sz w:val="16"/>
          <w:szCs w:val="16"/>
          <w:lang w:val="en-US" w:eastAsia="cs-CZ"/>
        </w:rPr>
      </w:pPr>
    </w:p>
    <w:p w14:paraId="2369E280" w14:textId="77777777" w:rsidR="00B24B1B" w:rsidRPr="00F10EBD" w:rsidRDefault="00B24B1B" w:rsidP="00F10EB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16"/>
          <w:szCs w:val="16"/>
          <w:lang w:val="en-US" w:eastAsia="cs-CZ"/>
        </w:rPr>
      </w:pPr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>comprehensive legal advice on the restructuring of a major construction group in the Czech Republic</w:t>
      </w:r>
    </w:p>
    <w:p w14:paraId="30230618" w14:textId="77777777" w:rsidR="00B24B1B" w:rsidRPr="00F10EBD" w:rsidRDefault="00B24B1B" w:rsidP="00F10EB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16"/>
          <w:szCs w:val="16"/>
          <w:lang w:val="en-US" w:eastAsia="cs-CZ"/>
        </w:rPr>
      </w:pPr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>legal advice on the intra-group merger of a banking institution active in the Czech Republic and abroad</w:t>
      </w:r>
    </w:p>
    <w:p w14:paraId="4AAD8608" w14:textId="77777777" w:rsidR="00B24B1B" w:rsidRPr="00F10EBD" w:rsidRDefault="00B24B1B" w:rsidP="00F10EB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16"/>
          <w:szCs w:val="16"/>
          <w:lang w:val="en-US" w:eastAsia="cs-CZ"/>
        </w:rPr>
      </w:pPr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>transformation of major Czech companies operating in the automotive industry</w:t>
      </w:r>
    </w:p>
    <w:p w14:paraId="7DFBCD66" w14:textId="77777777" w:rsidR="00B24B1B" w:rsidRPr="00F10EBD" w:rsidRDefault="00B24B1B" w:rsidP="00F10EB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16"/>
          <w:szCs w:val="16"/>
          <w:lang w:val="en-US" w:eastAsia="cs-CZ"/>
        </w:rPr>
      </w:pPr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 xml:space="preserve">private advice to major Czech private clients, including the creation of fund structures with an international </w:t>
      </w:r>
      <w:proofErr w:type="gramStart"/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>element</w:t>
      </w:r>
      <w:proofErr w:type="gramEnd"/>
    </w:p>
    <w:p w14:paraId="4003C2DB" w14:textId="77777777" w:rsidR="00B24B1B" w:rsidRPr="00F10EBD" w:rsidRDefault="00B24B1B" w:rsidP="00F10EB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16"/>
          <w:szCs w:val="16"/>
          <w:lang w:val="en-US" w:eastAsia="cs-CZ"/>
        </w:rPr>
      </w:pPr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>comprehensive legal advice on corporate law to major Czech companies, subsidiaries of foreign investors active, inter alia, in the fields of construction, engineering or the chemical industry</w:t>
      </w:r>
    </w:p>
    <w:p w14:paraId="6B572EB0" w14:textId="67FBD943" w:rsidR="00B24B1B" w:rsidRPr="00F10EBD" w:rsidRDefault="00B24B1B" w:rsidP="00F10EB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16"/>
          <w:szCs w:val="16"/>
          <w:lang w:val="en-US" w:eastAsia="cs-CZ"/>
        </w:rPr>
      </w:pPr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>legal advice in connection with amendments to founding documents and statutes of companies in connection with their adaptation to</w:t>
      </w:r>
      <w:r w:rsidR="00402237" w:rsidRPr="00F10EBD">
        <w:rPr>
          <w:rFonts w:ascii="Arial" w:eastAsia="Times New Roman" w:hAnsi="Arial" w:cs="Arial"/>
          <w:sz w:val="16"/>
          <w:szCs w:val="16"/>
          <w:lang w:val="en-US" w:eastAsia="cs-CZ"/>
        </w:rPr>
        <w:t> </w:t>
      </w:r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 xml:space="preserve">the new private </w:t>
      </w:r>
      <w:proofErr w:type="gramStart"/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>law</w:t>
      </w:r>
      <w:proofErr w:type="gramEnd"/>
    </w:p>
    <w:p w14:paraId="0AA6FBB2" w14:textId="77777777" w:rsidR="00B24B1B" w:rsidRPr="00F10EBD" w:rsidRDefault="00B24B1B" w:rsidP="00F10EB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16"/>
          <w:szCs w:val="16"/>
          <w:lang w:val="en-US" w:eastAsia="cs-CZ"/>
        </w:rPr>
      </w:pPr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 xml:space="preserve">legal advice on conducting legal due diligence related to the acquisition of leading companies active in the development, construction, engineering, food or automobile </w:t>
      </w:r>
      <w:proofErr w:type="gramStart"/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>sectors</w:t>
      </w:r>
      <w:proofErr w:type="gramEnd"/>
    </w:p>
    <w:p w14:paraId="4312828D" w14:textId="77777777" w:rsidR="00B24B1B" w:rsidRPr="00F10EBD" w:rsidRDefault="00B24B1B" w:rsidP="00F10EB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16"/>
          <w:szCs w:val="16"/>
          <w:lang w:val="en-US" w:eastAsia="cs-CZ"/>
        </w:rPr>
      </w:pPr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 xml:space="preserve">legal advice in negotiating the acquisition of a major office building in </w:t>
      </w:r>
      <w:proofErr w:type="gramStart"/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>Prague</w:t>
      </w:r>
      <w:proofErr w:type="gramEnd"/>
    </w:p>
    <w:p w14:paraId="38273F7A" w14:textId="77777777" w:rsidR="00B24B1B" w:rsidRPr="00F10EBD" w:rsidRDefault="00B24B1B" w:rsidP="00F10EB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16"/>
          <w:szCs w:val="16"/>
          <w:lang w:val="en-US" w:eastAsia="cs-CZ"/>
        </w:rPr>
      </w:pPr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>legal advice on a real estate acquisition in the North Moravian Region</w:t>
      </w:r>
    </w:p>
    <w:p w14:paraId="54BB0682" w14:textId="77777777" w:rsidR="00B24B1B" w:rsidRPr="00F10EBD" w:rsidRDefault="00B24B1B" w:rsidP="00F10EB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16"/>
          <w:szCs w:val="16"/>
          <w:lang w:val="en-US" w:eastAsia="cs-CZ"/>
        </w:rPr>
      </w:pPr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>legal advice on the sale of a development project in Prague</w:t>
      </w:r>
    </w:p>
    <w:p w14:paraId="25F5853E" w14:textId="77777777" w:rsidR="00B24B1B" w:rsidRPr="00F10EBD" w:rsidRDefault="00B24B1B" w:rsidP="00F10EBD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8"/>
          <w:lang w:val="en-US" w:eastAsia="cs-CZ"/>
        </w:rPr>
      </w:pPr>
    </w:p>
    <w:p w14:paraId="57055119" w14:textId="11887088" w:rsidR="00B24B1B" w:rsidRPr="00F10EBD" w:rsidRDefault="00B24B1B" w:rsidP="00F10EBD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A70336"/>
          <w:sz w:val="16"/>
          <w:szCs w:val="18"/>
          <w:lang w:val="en-US" w:eastAsia="cs-CZ"/>
        </w:rPr>
      </w:pPr>
      <w:r w:rsidRPr="00F10EBD">
        <w:rPr>
          <w:rFonts w:ascii="Arial" w:eastAsia="Times New Roman" w:hAnsi="Arial" w:cs="Arial"/>
          <w:b/>
          <w:color w:val="A70336"/>
          <w:sz w:val="16"/>
          <w:szCs w:val="18"/>
          <w:lang w:val="en-US" w:eastAsia="cs-CZ"/>
        </w:rPr>
        <w:t>Membership in Professional Associations</w:t>
      </w:r>
    </w:p>
    <w:p w14:paraId="3A51BDEA" w14:textId="77777777" w:rsidR="001528B7" w:rsidRPr="00F10EBD" w:rsidRDefault="001528B7" w:rsidP="00F10EBD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8"/>
          <w:lang w:val="en-US" w:eastAsia="cs-CZ"/>
        </w:rPr>
      </w:pPr>
    </w:p>
    <w:p w14:paraId="0205010E" w14:textId="6CEF8FCC" w:rsidR="00B24B1B" w:rsidRPr="00F10EBD" w:rsidRDefault="00B24B1B" w:rsidP="00F10EBD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8"/>
          <w:lang w:val="en-US" w:eastAsia="cs-CZ"/>
        </w:rPr>
      </w:pPr>
      <w:r w:rsidRPr="00F10EBD">
        <w:rPr>
          <w:rFonts w:ascii="Arial" w:eastAsia="Times New Roman" w:hAnsi="Arial" w:cs="Arial"/>
          <w:sz w:val="16"/>
          <w:szCs w:val="18"/>
          <w:lang w:val="en-US" w:eastAsia="cs-CZ"/>
        </w:rPr>
        <w:t>Czech Bar Association</w:t>
      </w:r>
    </w:p>
    <w:p w14:paraId="3D6C847D" w14:textId="77777777" w:rsidR="001528B7" w:rsidRPr="00F10EBD" w:rsidRDefault="001528B7" w:rsidP="00F10EBD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8"/>
          <w:lang w:val="en-US" w:eastAsia="cs-CZ"/>
        </w:rPr>
      </w:pPr>
    </w:p>
    <w:p w14:paraId="150628D1" w14:textId="07238129" w:rsidR="00B24B1B" w:rsidRPr="00F10EBD" w:rsidRDefault="00B24B1B" w:rsidP="00F10EBD">
      <w:pPr>
        <w:spacing w:after="0"/>
        <w:jc w:val="both"/>
        <w:rPr>
          <w:rFonts w:ascii="Arial" w:eastAsia="Times New Roman" w:hAnsi="Arial" w:cs="Arial"/>
          <w:b/>
          <w:bCs/>
          <w:color w:val="A70336"/>
          <w:sz w:val="16"/>
          <w:szCs w:val="18"/>
          <w:lang w:val="en-US" w:eastAsia="cs-CZ"/>
        </w:rPr>
      </w:pPr>
      <w:r w:rsidRPr="00F10EBD">
        <w:rPr>
          <w:rFonts w:ascii="Arial" w:eastAsia="Times New Roman" w:hAnsi="Arial" w:cs="Arial"/>
          <w:b/>
          <w:bCs/>
          <w:color w:val="A70336"/>
          <w:sz w:val="16"/>
          <w:szCs w:val="18"/>
          <w:lang w:val="en-US" w:eastAsia="cs-CZ"/>
        </w:rPr>
        <w:t>Languages</w:t>
      </w:r>
    </w:p>
    <w:p w14:paraId="781EBBE3" w14:textId="77777777" w:rsidR="001528B7" w:rsidRPr="00F10EBD" w:rsidRDefault="001528B7" w:rsidP="00F10EBD">
      <w:pPr>
        <w:spacing w:after="0"/>
        <w:jc w:val="both"/>
        <w:rPr>
          <w:rFonts w:ascii="Arial" w:eastAsia="Times New Roman" w:hAnsi="Arial" w:cs="Arial"/>
          <w:b/>
          <w:bCs/>
          <w:color w:val="A70336"/>
          <w:sz w:val="16"/>
          <w:szCs w:val="18"/>
          <w:lang w:val="en-US" w:eastAsia="cs-CZ"/>
        </w:rPr>
      </w:pPr>
    </w:p>
    <w:p w14:paraId="28588C48" w14:textId="4E1AE3EF" w:rsidR="00B24B1B" w:rsidRPr="00F10EBD" w:rsidRDefault="00B24B1B" w:rsidP="00F10EBD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6"/>
          <w:lang w:val="en-US" w:eastAsia="cs-CZ"/>
        </w:rPr>
      </w:pPr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>Czech, English</w:t>
      </w:r>
    </w:p>
    <w:p w14:paraId="78A71406" w14:textId="77777777" w:rsidR="001528B7" w:rsidRPr="00F10EBD" w:rsidRDefault="001528B7" w:rsidP="00F10EBD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8"/>
          <w:lang w:val="en-US" w:eastAsia="cs-CZ"/>
        </w:rPr>
      </w:pPr>
    </w:p>
    <w:p w14:paraId="680A7308" w14:textId="3CB81FF8" w:rsidR="00B24B1B" w:rsidRPr="00F10EBD" w:rsidRDefault="00B24B1B" w:rsidP="00F10EBD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A70336"/>
          <w:sz w:val="16"/>
          <w:szCs w:val="18"/>
          <w:lang w:val="en-US" w:eastAsia="cs-CZ"/>
        </w:rPr>
      </w:pPr>
      <w:r w:rsidRPr="00F10EBD">
        <w:rPr>
          <w:rFonts w:ascii="Arial" w:eastAsia="Times New Roman" w:hAnsi="Arial" w:cs="Arial"/>
          <w:b/>
          <w:bCs/>
          <w:color w:val="A70336"/>
          <w:sz w:val="16"/>
          <w:szCs w:val="18"/>
          <w:lang w:val="en-US" w:eastAsia="cs-CZ"/>
        </w:rPr>
        <w:t>Education</w:t>
      </w:r>
    </w:p>
    <w:p w14:paraId="7EAF353F" w14:textId="77777777" w:rsidR="001528B7" w:rsidRPr="00F10EBD" w:rsidRDefault="001528B7" w:rsidP="00F10EBD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A70336"/>
          <w:sz w:val="16"/>
          <w:szCs w:val="18"/>
          <w:lang w:val="en-US" w:eastAsia="cs-CZ"/>
        </w:rPr>
      </w:pPr>
    </w:p>
    <w:p w14:paraId="73EBE1AE" w14:textId="028EECDD" w:rsidR="00B24B1B" w:rsidRPr="00F10EBD" w:rsidRDefault="00B24B1B" w:rsidP="00F10EBD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6"/>
          <w:lang w:val="en-US" w:eastAsia="cs-CZ"/>
        </w:rPr>
      </w:pPr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>Masaryk University, Faculty of Law</w:t>
      </w:r>
      <w:r w:rsidR="001528B7" w:rsidRPr="00F10EBD">
        <w:rPr>
          <w:rFonts w:ascii="Arial" w:eastAsia="Times New Roman" w:hAnsi="Arial" w:cs="Arial"/>
          <w:sz w:val="16"/>
          <w:szCs w:val="16"/>
          <w:lang w:val="en-US" w:eastAsia="cs-CZ"/>
        </w:rPr>
        <w:t>, Brno</w:t>
      </w:r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 xml:space="preserve"> (2007), Mgr. (Master of Law)</w:t>
      </w:r>
    </w:p>
    <w:p w14:paraId="3B3DC001" w14:textId="0A627ABD" w:rsidR="00B24B1B" w:rsidRPr="00F10EBD" w:rsidRDefault="00B24B1B" w:rsidP="00F10EBD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6"/>
          <w:lang w:val="en-US" w:eastAsia="cs-CZ"/>
        </w:rPr>
      </w:pPr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>University of Technology in Sydney</w:t>
      </w:r>
      <w:r w:rsidR="001528B7" w:rsidRPr="00F10EBD">
        <w:rPr>
          <w:rFonts w:ascii="Arial" w:eastAsia="Times New Roman" w:hAnsi="Arial" w:cs="Arial"/>
          <w:sz w:val="16"/>
          <w:szCs w:val="16"/>
          <w:lang w:val="en-US" w:eastAsia="cs-CZ"/>
        </w:rPr>
        <w:t>, Sydney</w:t>
      </w:r>
      <w:r w:rsidRPr="00F10EBD">
        <w:rPr>
          <w:rFonts w:ascii="Arial" w:eastAsia="Times New Roman" w:hAnsi="Arial" w:cs="Arial"/>
          <w:sz w:val="16"/>
          <w:szCs w:val="16"/>
          <w:lang w:val="en-US" w:eastAsia="cs-CZ"/>
        </w:rPr>
        <w:t xml:space="preserve"> (2010), LL.M.</w:t>
      </w:r>
    </w:p>
    <w:p w14:paraId="2339137B" w14:textId="77777777" w:rsidR="001528B7" w:rsidRPr="00F10EBD" w:rsidRDefault="001528B7" w:rsidP="00F10EBD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6"/>
          <w:lang w:val="en-US" w:eastAsia="cs-CZ"/>
        </w:rPr>
      </w:pPr>
    </w:p>
    <w:p w14:paraId="4AFBC080" w14:textId="77777777" w:rsidR="00B24B1B" w:rsidRPr="00F10EBD" w:rsidRDefault="00B24B1B" w:rsidP="00F10EBD">
      <w:pPr>
        <w:shd w:val="clear" w:color="auto" w:fill="FFFFFF"/>
        <w:jc w:val="both"/>
        <w:rPr>
          <w:rFonts w:ascii="Arial" w:eastAsia="Times New Roman" w:hAnsi="Arial" w:cs="Arial"/>
          <w:sz w:val="16"/>
          <w:szCs w:val="18"/>
          <w:lang w:val="en-US" w:eastAsia="cs-CZ"/>
        </w:rPr>
      </w:pPr>
      <w:r w:rsidRPr="00F10EBD">
        <w:rPr>
          <w:rFonts w:ascii="Arial" w:eastAsia="Times New Roman" w:hAnsi="Arial" w:cs="Arial"/>
          <w:noProof/>
          <w:sz w:val="16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A0DF1" wp14:editId="4B25B15D">
                <wp:simplePos x="0" y="0"/>
                <wp:positionH relativeFrom="margin">
                  <wp:posOffset>-3705</wp:posOffset>
                </wp:positionH>
                <wp:positionV relativeFrom="paragraph">
                  <wp:posOffset>59690</wp:posOffset>
                </wp:positionV>
                <wp:extent cx="6120000" cy="0"/>
                <wp:effectExtent l="0" t="0" r="1460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EE2B53" id="Přímá spojnic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3pt,4.7pt" to="48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" strokecolor="black [3213]">
                <w10:wrap anchorx="margin"/>
              </v:line>
            </w:pict>
          </mc:Fallback>
        </mc:AlternateContent>
      </w:r>
    </w:p>
    <w:p w14:paraId="3714DC0C" w14:textId="311C0FAC" w:rsidR="00B24B1B" w:rsidRPr="00F10EBD" w:rsidRDefault="00B24B1B" w:rsidP="00F10EBD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8"/>
          <w:lang w:val="de-DE" w:eastAsia="cs-CZ"/>
        </w:rPr>
      </w:pPr>
      <w:r w:rsidRPr="00F10EBD">
        <w:rPr>
          <w:rFonts w:ascii="Arial" w:eastAsia="Times New Roman" w:hAnsi="Arial" w:cs="Arial"/>
          <w:b/>
          <w:bCs/>
          <w:color w:val="A70336"/>
          <w:sz w:val="16"/>
          <w:szCs w:val="16"/>
          <w:lang w:val="de-DE" w:eastAsia="cs-CZ"/>
        </w:rPr>
        <w:t xml:space="preserve">E: </w:t>
      </w:r>
      <w:r w:rsidRPr="00F10EBD">
        <w:rPr>
          <w:rFonts w:ascii="Arial" w:eastAsia="Times New Roman" w:hAnsi="Arial" w:cs="Arial"/>
          <w:sz w:val="16"/>
          <w:szCs w:val="16"/>
          <w:lang w:val="de-DE" w:eastAsia="cs-CZ"/>
        </w:rPr>
        <w:t>katerina.surkova@havelpartners.cz</w:t>
      </w:r>
    </w:p>
    <w:p w14:paraId="634DDD6D" w14:textId="090AC563" w:rsidR="00514E6C" w:rsidRPr="00F10EBD" w:rsidRDefault="00514E6C" w:rsidP="00F10EBD">
      <w:pPr>
        <w:shd w:val="clear" w:color="auto" w:fill="FFFFFF"/>
        <w:spacing w:after="0"/>
        <w:jc w:val="both"/>
        <w:rPr>
          <w:rFonts w:ascii="Arial" w:eastAsia="Times New Roman" w:hAnsi="Arial" w:cs="Arial"/>
          <w:sz w:val="14"/>
          <w:szCs w:val="16"/>
          <w:lang w:val="it-IT" w:eastAsia="cs-CZ"/>
        </w:rPr>
      </w:pPr>
    </w:p>
    <w:sectPr w:rsidR="00514E6C" w:rsidRPr="00F10EBD" w:rsidSect="001528B7">
      <w:headerReference w:type="default" r:id="rId9"/>
      <w:footerReference w:type="even" r:id="rId10"/>
      <w:type w:val="continuous"/>
      <w:pgSz w:w="11906" w:h="16838"/>
      <w:pgMar w:top="2694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E3FFB" w14:textId="77777777" w:rsidR="006D7A73" w:rsidRDefault="006D7A73" w:rsidP="00B30E83">
      <w:pPr>
        <w:spacing w:after="0" w:line="240" w:lineRule="auto"/>
      </w:pPr>
      <w:r>
        <w:separator/>
      </w:r>
    </w:p>
  </w:endnote>
  <w:endnote w:type="continuationSeparator" w:id="0">
    <w:p w14:paraId="6010224B" w14:textId="77777777" w:rsidR="006D7A73" w:rsidRDefault="006D7A73" w:rsidP="00B3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BF6F" w14:textId="77777777" w:rsidR="00010789" w:rsidRDefault="003509F8">
    <w:pPr>
      <w:pStyle w:val="Zpat"/>
    </w:pPr>
    <w:r>
      <w:rPr>
        <w:noProof/>
        <w:lang w:eastAsia="cs-CZ"/>
      </w:rPr>
      <w:drawing>
        <wp:inline distT="0" distB="0" distL="0" distR="0" wp14:anchorId="67135589" wp14:editId="6BC55B1C">
          <wp:extent cx="6115050" cy="752475"/>
          <wp:effectExtent l="0" t="0" r="0" b="9525"/>
          <wp:docPr id="51" name="Obrázek 51" descr="HP_EN_CV_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P_EN_CV_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1C53" w14:textId="77777777" w:rsidR="006D7A73" w:rsidRDefault="006D7A73" w:rsidP="00B30E83">
      <w:pPr>
        <w:spacing w:after="0" w:line="240" w:lineRule="auto"/>
      </w:pPr>
      <w:r>
        <w:separator/>
      </w:r>
    </w:p>
  </w:footnote>
  <w:footnote w:type="continuationSeparator" w:id="0">
    <w:p w14:paraId="7D03E030" w14:textId="77777777" w:rsidR="006D7A73" w:rsidRDefault="006D7A73" w:rsidP="00B30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4F3E" w14:textId="77777777" w:rsidR="00B30E83" w:rsidRDefault="007B50BE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68480" behindDoc="1" locked="0" layoutInCell="1" allowOverlap="1" wp14:anchorId="3342FC7F" wp14:editId="4060671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8147" cy="2700209"/>
          <wp:effectExtent l="0" t="0" r="5080" b="5080"/>
          <wp:wrapNone/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147" cy="27002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CE0"/>
    <w:multiLevelType w:val="multilevel"/>
    <w:tmpl w:val="D96C85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34057"/>
    <w:multiLevelType w:val="multilevel"/>
    <w:tmpl w:val="39DCFE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55B97"/>
    <w:multiLevelType w:val="multilevel"/>
    <w:tmpl w:val="D96C85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26281"/>
    <w:multiLevelType w:val="hybridMultilevel"/>
    <w:tmpl w:val="9170F9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C4C6A"/>
    <w:multiLevelType w:val="hybridMultilevel"/>
    <w:tmpl w:val="25A47C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559BA"/>
    <w:multiLevelType w:val="hybridMultilevel"/>
    <w:tmpl w:val="1DD605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12C4D"/>
    <w:multiLevelType w:val="multilevel"/>
    <w:tmpl w:val="691A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BE3BCF"/>
    <w:multiLevelType w:val="multilevel"/>
    <w:tmpl w:val="88AC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F20590"/>
    <w:multiLevelType w:val="multilevel"/>
    <w:tmpl w:val="2180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6E657D"/>
    <w:multiLevelType w:val="hybridMultilevel"/>
    <w:tmpl w:val="12C6ACB6"/>
    <w:lvl w:ilvl="0" w:tplc="0405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65203EB1"/>
    <w:multiLevelType w:val="multilevel"/>
    <w:tmpl w:val="B9BCE1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6024AA"/>
    <w:multiLevelType w:val="multilevel"/>
    <w:tmpl w:val="781E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442D22"/>
    <w:multiLevelType w:val="multilevel"/>
    <w:tmpl w:val="416EA6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692A6A"/>
    <w:multiLevelType w:val="hybridMultilevel"/>
    <w:tmpl w:val="B6FA06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64C0F"/>
    <w:multiLevelType w:val="hybridMultilevel"/>
    <w:tmpl w:val="385200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84748"/>
    <w:multiLevelType w:val="multilevel"/>
    <w:tmpl w:val="A56C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E45608"/>
    <w:multiLevelType w:val="hybridMultilevel"/>
    <w:tmpl w:val="7464B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729591">
    <w:abstractNumId w:val="15"/>
  </w:num>
  <w:num w:numId="2" w16cid:durableId="858083935">
    <w:abstractNumId w:val="11"/>
  </w:num>
  <w:num w:numId="3" w16cid:durableId="1543324216">
    <w:abstractNumId w:val="7"/>
  </w:num>
  <w:num w:numId="4" w16cid:durableId="310132656">
    <w:abstractNumId w:val="2"/>
  </w:num>
  <w:num w:numId="5" w16cid:durableId="1424302714">
    <w:abstractNumId w:val="0"/>
  </w:num>
  <w:num w:numId="6" w16cid:durableId="1360427908">
    <w:abstractNumId w:val="14"/>
  </w:num>
  <w:num w:numId="7" w16cid:durableId="1852599672">
    <w:abstractNumId w:val="4"/>
  </w:num>
  <w:num w:numId="8" w16cid:durableId="914824016">
    <w:abstractNumId w:val="3"/>
  </w:num>
  <w:num w:numId="9" w16cid:durableId="1020204230">
    <w:abstractNumId w:val="5"/>
  </w:num>
  <w:num w:numId="10" w16cid:durableId="1430083333">
    <w:abstractNumId w:val="13"/>
  </w:num>
  <w:num w:numId="11" w16cid:durableId="806120426">
    <w:abstractNumId w:val="9"/>
  </w:num>
  <w:num w:numId="12" w16cid:durableId="962736368">
    <w:abstractNumId w:val="10"/>
  </w:num>
  <w:num w:numId="13" w16cid:durableId="558442202">
    <w:abstractNumId w:val="8"/>
  </w:num>
  <w:num w:numId="14" w16cid:durableId="1994403812">
    <w:abstractNumId w:val="12"/>
  </w:num>
  <w:num w:numId="15" w16cid:durableId="1808667560">
    <w:abstractNumId w:val="6"/>
  </w:num>
  <w:num w:numId="16" w16cid:durableId="1861116735">
    <w:abstractNumId w:val="1"/>
  </w:num>
  <w:num w:numId="17" w16cid:durableId="20009611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55"/>
    <w:rsid w:val="00010789"/>
    <w:rsid w:val="00015DFC"/>
    <w:rsid w:val="000817AF"/>
    <w:rsid w:val="000A23AF"/>
    <w:rsid w:val="000C3C67"/>
    <w:rsid w:val="000E4571"/>
    <w:rsid w:val="00105E4B"/>
    <w:rsid w:val="001528B7"/>
    <w:rsid w:val="00156507"/>
    <w:rsid w:val="00171140"/>
    <w:rsid w:val="00186124"/>
    <w:rsid w:val="001A370B"/>
    <w:rsid w:val="00216251"/>
    <w:rsid w:val="00260A82"/>
    <w:rsid w:val="00263C7C"/>
    <w:rsid w:val="002D32EC"/>
    <w:rsid w:val="002D447A"/>
    <w:rsid w:val="002D50A2"/>
    <w:rsid w:val="00304F5F"/>
    <w:rsid w:val="003509F8"/>
    <w:rsid w:val="00361133"/>
    <w:rsid w:val="00380E3B"/>
    <w:rsid w:val="00402237"/>
    <w:rsid w:val="00426316"/>
    <w:rsid w:val="004946BC"/>
    <w:rsid w:val="004A5D3D"/>
    <w:rsid w:val="004C0AEF"/>
    <w:rsid w:val="00504314"/>
    <w:rsid w:val="00514E6C"/>
    <w:rsid w:val="005434F0"/>
    <w:rsid w:val="005B1D65"/>
    <w:rsid w:val="005C1525"/>
    <w:rsid w:val="005C34FC"/>
    <w:rsid w:val="006258B1"/>
    <w:rsid w:val="006D04A1"/>
    <w:rsid w:val="006D7A73"/>
    <w:rsid w:val="00700188"/>
    <w:rsid w:val="00703A1F"/>
    <w:rsid w:val="00735A6D"/>
    <w:rsid w:val="00763CFC"/>
    <w:rsid w:val="007702DC"/>
    <w:rsid w:val="00774EFF"/>
    <w:rsid w:val="00795D56"/>
    <w:rsid w:val="007B50BE"/>
    <w:rsid w:val="008171CF"/>
    <w:rsid w:val="00821582"/>
    <w:rsid w:val="0083465E"/>
    <w:rsid w:val="00862FEE"/>
    <w:rsid w:val="00873235"/>
    <w:rsid w:val="008A44C4"/>
    <w:rsid w:val="008C383C"/>
    <w:rsid w:val="008E14C0"/>
    <w:rsid w:val="008F023A"/>
    <w:rsid w:val="008F4AB1"/>
    <w:rsid w:val="00901C6C"/>
    <w:rsid w:val="00986D8F"/>
    <w:rsid w:val="009D0998"/>
    <w:rsid w:val="00A719FB"/>
    <w:rsid w:val="00B04CD5"/>
    <w:rsid w:val="00B12BE7"/>
    <w:rsid w:val="00B24B1B"/>
    <w:rsid w:val="00B30E83"/>
    <w:rsid w:val="00B335A2"/>
    <w:rsid w:val="00B36E53"/>
    <w:rsid w:val="00B73230"/>
    <w:rsid w:val="00BA2032"/>
    <w:rsid w:val="00BA2938"/>
    <w:rsid w:val="00BD05B2"/>
    <w:rsid w:val="00BD1FA0"/>
    <w:rsid w:val="00BD4FD2"/>
    <w:rsid w:val="00C172A3"/>
    <w:rsid w:val="00C253CD"/>
    <w:rsid w:val="00C45476"/>
    <w:rsid w:val="00CA45C1"/>
    <w:rsid w:val="00D14261"/>
    <w:rsid w:val="00D71D15"/>
    <w:rsid w:val="00D72C8E"/>
    <w:rsid w:val="00E13799"/>
    <w:rsid w:val="00E476C6"/>
    <w:rsid w:val="00EB3AC9"/>
    <w:rsid w:val="00F10EBD"/>
    <w:rsid w:val="00F12D43"/>
    <w:rsid w:val="00F33E4F"/>
    <w:rsid w:val="00FC5FB6"/>
    <w:rsid w:val="00FF6055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65F79D"/>
  <w15:docId w15:val="{47A814B8-CB61-4545-8C95-74812A88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0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0AE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23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nhideWhenUsed/>
    <w:rsid w:val="00862FE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5043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0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E83"/>
  </w:style>
  <w:style w:type="paragraph" w:styleId="Zpat">
    <w:name w:val="footer"/>
    <w:basedOn w:val="Normln"/>
    <w:link w:val="ZpatChar"/>
    <w:uiPriority w:val="99"/>
    <w:unhideWhenUsed/>
    <w:rsid w:val="00B30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59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rketing\Zivotopisy\Necas_Jiri_CV_EN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03DB6-9100-4E31-97CC-3C68F726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Necas_Jiri_CV_EN</Template>
  <TotalTime>0</TotalTime>
  <Pages>1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PARTNERS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Korbelova Kristina</dc:creator>
  <cp:lastModifiedBy>Walderova Tereza</cp:lastModifiedBy>
  <cp:revision>9</cp:revision>
  <cp:lastPrinted>2017-08-10T12:35:00Z</cp:lastPrinted>
  <dcterms:created xsi:type="dcterms:W3CDTF">2022-07-11T08:11:00Z</dcterms:created>
  <dcterms:modified xsi:type="dcterms:W3CDTF">2023-06-21T07:12:00Z</dcterms:modified>
</cp:coreProperties>
</file>